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2"/>
        <w:gridCol w:w="1667"/>
        <w:gridCol w:w="1818"/>
        <w:gridCol w:w="1402"/>
        <w:gridCol w:w="4169"/>
        <w:gridCol w:w="2188"/>
        <w:gridCol w:w="2104"/>
      </w:tblGrid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15.04.20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eastAsia="NewtonSanPin" w:hAnsi="Times New Roman" w:cs="Times New Roman"/>
                <w:iCs/>
                <w:color w:val="000000"/>
              </w:rPr>
            </w:pPr>
            <w:r w:rsidRPr="003A19D4">
              <w:rPr>
                <w:rFonts w:ascii="Times New Roman" w:hAnsi="Times New Roman" w:cs="Times New Roman"/>
              </w:rPr>
              <w:t>1.</w:t>
            </w:r>
            <w:r w:rsidRPr="003A19D4">
              <w:rPr>
                <w:rFonts w:ascii="Times New Roman" w:eastAsia="NewtonSanPin" w:hAnsi="Times New Roman" w:cs="Times New Roman"/>
                <w:iCs/>
                <w:color w:val="000000"/>
              </w:rPr>
              <w:t xml:space="preserve"> Диссоциация оснований и их свойства в свете теории электролитической диссоциации. Взаимодействие оснований с солями. Использование таблицы растворимости для характеристики химических свойств оснований. Взаимодействие щелочей с оксидами неметаллов.</w:t>
            </w:r>
          </w:p>
          <w:p w:rsidR="00D84F0C" w:rsidRPr="003A19D4" w:rsidRDefault="00D84F0C" w:rsidP="00103965">
            <w:pPr>
              <w:autoSpaceDE w:val="0"/>
              <w:autoSpaceDN w:val="0"/>
              <w:adjustRightInd w:val="0"/>
              <w:rPr>
                <w:rFonts w:ascii="Times New Roman" w:eastAsia="NewtonSanPin" w:hAnsi="Times New Roman" w:cs="Times New Roman"/>
                <w:iCs/>
                <w:color w:val="000000"/>
              </w:rPr>
            </w:pPr>
            <w:r w:rsidRPr="003A19D4">
              <w:rPr>
                <w:rFonts w:ascii="Times New Roman" w:eastAsia="NewtonSanPin" w:hAnsi="Times New Roman" w:cs="Times New Roman"/>
                <w:iCs/>
                <w:color w:val="000000"/>
              </w:rPr>
              <w:t>2. Обобщение сведений об оксидах, их классификации и свойствах.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  <w:bCs/>
              </w:rPr>
            </w:pPr>
            <w:r w:rsidRPr="003A19D4">
              <w:rPr>
                <w:rFonts w:ascii="Times New Roman" w:hAnsi="Times New Roman" w:cs="Times New Roman"/>
              </w:rPr>
              <w:t xml:space="preserve">§ 40, упр. </w:t>
            </w:r>
            <w:r w:rsidRPr="003A19D4">
              <w:rPr>
                <w:rFonts w:ascii="Times New Roman" w:hAnsi="Times New Roman" w:cs="Times New Roman"/>
                <w:bCs/>
              </w:rPr>
              <w:t>3 (п)  стр. 247.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  <w:bCs/>
              </w:rPr>
            </w:pPr>
            <w:r w:rsidRPr="003A19D4">
              <w:rPr>
                <w:rFonts w:ascii="Times New Roman" w:hAnsi="Times New Roman" w:cs="Times New Roman"/>
              </w:rPr>
              <w:t xml:space="preserve">§ 41, упр. </w:t>
            </w:r>
            <w:r w:rsidRPr="003A19D4">
              <w:rPr>
                <w:rFonts w:ascii="Times New Roman" w:hAnsi="Times New Roman" w:cs="Times New Roman"/>
                <w:bCs/>
              </w:rPr>
              <w:t>5 (п)  стр. 253.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15.04.20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eastAsia="NewtonSanPin" w:hAnsi="Times New Roman" w:cs="Times New Roman"/>
                <w:iCs/>
                <w:color w:val="000000"/>
              </w:rPr>
            </w:pPr>
            <w:r w:rsidRPr="003A19D4">
              <w:rPr>
                <w:rFonts w:ascii="Times New Roman" w:hAnsi="Times New Roman" w:cs="Times New Roman"/>
              </w:rPr>
              <w:t>1.</w:t>
            </w:r>
            <w:r w:rsidRPr="003A19D4">
              <w:rPr>
                <w:rFonts w:ascii="Times New Roman" w:eastAsia="NewtonSanPin" w:hAnsi="Times New Roman" w:cs="Times New Roman"/>
                <w:iCs/>
                <w:color w:val="000000"/>
              </w:rPr>
              <w:t xml:space="preserve"> Диссоциация оснований и их свойства в свете теории электролитической диссоциации. Взаимодействие оснований с солями. Использование таблицы растворимости для характеристики химических свойств оснований. Взаимодействие щелочей с оксидами неметаллов.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eastAsia="NewtonSanPin" w:hAnsi="Times New Roman" w:cs="Times New Roman"/>
                <w:iCs/>
                <w:color w:val="000000"/>
              </w:rPr>
              <w:t>2. Обобщение сведений об оксидах, их классификации и свойствах.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  <w:bCs/>
              </w:rPr>
            </w:pPr>
            <w:r w:rsidRPr="003A19D4">
              <w:rPr>
                <w:rFonts w:ascii="Times New Roman" w:hAnsi="Times New Roman" w:cs="Times New Roman"/>
              </w:rPr>
              <w:t xml:space="preserve">§ 40, упр. </w:t>
            </w:r>
            <w:r w:rsidRPr="003A19D4">
              <w:rPr>
                <w:rFonts w:ascii="Times New Roman" w:hAnsi="Times New Roman" w:cs="Times New Roman"/>
                <w:bCs/>
              </w:rPr>
              <w:t>3 (п)  стр. 247.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  <w:bCs/>
              </w:rPr>
            </w:pPr>
            <w:r w:rsidRPr="003A19D4">
              <w:rPr>
                <w:rFonts w:ascii="Times New Roman" w:hAnsi="Times New Roman" w:cs="Times New Roman"/>
              </w:rPr>
              <w:t xml:space="preserve">§ 41, упр. </w:t>
            </w:r>
            <w:r w:rsidRPr="003A19D4">
              <w:rPr>
                <w:rFonts w:ascii="Times New Roman" w:hAnsi="Times New Roman" w:cs="Times New Roman"/>
                <w:bCs/>
              </w:rPr>
              <w:t>5 (п)  стр. 253.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14.04.20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3A19D4">
              <w:rPr>
                <w:rFonts w:ascii="Times New Roman" w:hAnsi="Times New Roman" w:cs="Times New Roman"/>
              </w:rPr>
              <w:t>1.</w:t>
            </w: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lastRenderedPageBreak/>
              <w:t>2. Реакции этерификации и понятие о сложных эфирах. Жиры как сложные эфиры глицерина и жирных кислот.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Просмотр презентации. Работа с учебником, выполнение заданий.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§ 23 стр. 119-121, упр. 1,3 (п), стр.122-123.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lastRenderedPageBreak/>
              <w:t>§ 23 стр. 119-121, упр. 4,5 (п), стр.123.</w:t>
            </w: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9б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14.04.20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3A19D4">
              <w:rPr>
                <w:rFonts w:ascii="Times New Roman" w:hAnsi="Times New Roman" w:cs="Times New Roman"/>
              </w:rPr>
              <w:t>1.</w:t>
            </w: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2. Реакции этерификации и понятие о сложных эфирах. Жиры как сложные эфиры глицерина и жирных кислот.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Просмотр презентации. Работа с учебником, выполнение заданий.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§ 23, упр. 6,7 (п), стр. 123.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14.04.20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3A19D4">
              <w:rPr>
                <w:rFonts w:ascii="Times New Roman" w:hAnsi="Times New Roman" w:cs="Times New Roman"/>
              </w:rPr>
              <w:t>1.</w:t>
            </w: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2. Реакции этерификации и понятие о сложных эфирах. Жиры как сложные эфиры глицерина и жирных кислот.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Просмотр презентации. Работа с учебником, выполнение заданий.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§ 23, упр. 6,7 (п), стр. 123.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1. Практическая работа № 1. «Идентификация органических соединений».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2.</w:t>
            </w:r>
            <w:r w:rsidRPr="003A19D4">
              <w:rPr>
                <w:rFonts w:ascii="Times New Roman" w:hAnsi="Times New Roman" w:cs="Times New Roman"/>
                <w:bCs/>
              </w:rPr>
              <w:t xml:space="preserve"> Искусственные полимеры: строение, свойства, применение.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§ 21, упр. 3 (п)  стр. 166.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П/р № 1 стр. 180 -181.</w:t>
            </w: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1. Представители солей и их значение. Качественные реакции на хлорид-, сульфат-, и карбонат- анионы, катион аммония, катионы железа (</w:t>
            </w:r>
            <w:r w:rsidRPr="003A19D4">
              <w:rPr>
                <w:rFonts w:ascii="Times New Roman" w:hAnsi="Times New Roman" w:cs="Times New Roman"/>
                <w:lang w:val="en-US"/>
              </w:rPr>
              <w:t>II</w:t>
            </w:r>
            <w:r w:rsidRPr="003A19D4">
              <w:rPr>
                <w:rFonts w:ascii="Times New Roman" w:hAnsi="Times New Roman" w:cs="Times New Roman"/>
              </w:rPr>
              <w:t>)  и (</w:t>
            </w:r>
            <w:r w:rsidRPr="003A19D4">
              <w:rPr>
                <w:rFonts w:ascii="Times New Roman" w:hAnsi="Times New Roman" w:cs="Times New Roman"/>
                <w:lang w:val="en-US"/>
              </w:rPr>
              <w:t>III</w:t>
            </w:r>
            <w:r w:rsidRPr="003A19D4">
              <w:rPr>
                <w:rFonts w:ascii="Times New Roman" w:hAnsi="Times New Roman" w:cs="Times New Roman"/>
              </w:rPr>
              <w:t>).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2. Генетическая связь между классами неорганических веществ.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Урок на платформе Открытая школа. Просмотр презентаций. Работа с учебником. Выполнение заданий.</w:t>
            </w: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Учебная платформа Открытая школа.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§ 24, упр. 4 (у), стр. 199. 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 xml:space="preserve">§ 25, упр. 6 (п), стр. 204. </w:t>
            </w: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Практическая работа № 2 «Получение глюкозы из картофеля».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Просмотр презентаций. Выполнение заданий.</w:t>
            </w:r>
          </w:p>
        </w:tc>
        <w:tc>
          <w:tcPr>
            <w:tcW w:w="2113" w:type="dxa"/>
          </w:tcPr>
          <w:p w:rsidR="00D84F0C" w:rsidRDefault="00D84F0C" w:rsidP="00103965">
            <w:hyperlink r:id="rId4" w:history="1">
              <w:r w:rsidRPr="003A19D4">
                <w:rPr>
                  <w:rStyle w:val="a4"/>
                  <w:rFonts w:ascii="Times New Roman" w:hAnsi="Times New Roman" w:cs="Times New Roman"/>
                </w:rPr>
                <w:t>https://resh.edu.ru/</w:t>
              </w:r>
            </w:hyperlink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>
              <w:t>урок № 11 химия.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П/р № 2 (интернет-ресурсы).</w:t>
            </w:r>
          </w:p>
        </w:tc>
      </w:tr>
      <w:tr w:rsidR="00D84F0C" w:rsidRPr="003A19D4" w:rsidTr="00103965">
        <w:tc>
          <w:tcPr>
            <w:tcW w:w="1242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D84F0C" w:rsidRPr="003A19D4" w:rsidRDefault="00D84F0C" w:rsidP="0010396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3A19D4">
              <w:rPr>
                <w:rFonts w:ascii="Times New Roman" w:eastAsia="Times New Roman" w:hAnsi="Times New Roman" w:cs="Times New Roman"/>
                <w:color w:val="000000"/>
              </w:rPr>
              <w:t>.04.20</w:t>
            </w:r>
          </w:p>
        </w:tc>
        <w:tc>
          <w:tcPr>
            <w:tcW w:w="4252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1. Количественный состав смеси.</w:t>
            </w:r>
          </w:p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2. Вычисление количественного состава смесей, если один компонент смеси участвует в химическом процессе.</w:t>
            </w:r>
          </w:p>
        </w:tc>
        <w:tc>
          <w:tcPr>
            <w:tcW w:w="2217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Алгоритм решения задач. Решение задач и упражнений.</w:t>
            </w:r>
          </w:p>
        </w:tc>
        <w:tc>
          <w:tcPr>
            <w:tcW w:w="2113" w:type="dxa"/>
          </w:tcPr>
          <w:p w:rsidR="00D84F0C" w:rsidRPr="003A19D4" w:rsidRDefault="00D84F0C" w:rsidP="00103965">
            <w:pPr>
              <w:rPr>
                <w:rFonts w:ascii="Times New Roman" w:hAnsi="Times New Roman" w:cs="Times New Roman"/>
              </w:rPr>
            </w:pPr>
            <w:r w:rsidRPr="003A19D4">
              <w:rPr>
                <w:rFonts w:ascii="Times New Roman" w:hAnsi="Times New Roman" w:cs="Times New Roman"/>
              </w:rPr>
              <w:t>§ 24, упр. 5 (п), стр.199.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D84F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45"/>
    <w:rsid w:val="006D318D"/>
    <w:rsid w:val="00740345"/>
    <w:rsid w:val="00D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CBCAC-BA02-452B-B40C-D8E6A11E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F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4F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2020-04-12T11:21:00Z</dcterms:created>
  <dcterms:modified xsi:type="dcterms:W3CDTF">2020-04-12T11:21:00Z</dcterms:modified>
</cp:coreProperties>
</file>